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9ED1" w14:textId="77777777" w:rsidR="005C4347" w:rsidRDefault="005C4347" w:rsidP="005C4347">
      <w:pPr>
        <w:spacing w:after="0" w:line="240" w:lineRule="auto"/>
        <w:jc w:val="center"/>
        <w:rPr>
          <w:rFonts w:cstheme="minorHAnsi"/>
          <w:b/>
          <w:sz w:val="24"/>
          <w:szCs w:val="24"/>
        </w:rPr>
      </w:pPr>
      <w:r>
        <w:rPr>
          <w:rFonts w:cstheme="minorHAnsi"/>
          <w:b/>
          <w:sz w:val="24"/>
          <w:szCs w:val="24"/>
        </w:rPr>
        <w:t>ANTI-SOCIAL BEHAVIOUR, CRIME AND POLICING ACT 2014</w:t>
      </w:r>
    </w:p>
    <w:p w14:paraId="51CFA638" w14:textId="77777777" w:rsidR="005C4347" w:rsidRDefault="005C4347" w:rsidP="005C4347">
      <w:pPr>
        <w:spacing w:after="0" w:line="240" w:lineRule="auto"/>
        <w:jc w:val="center"/>
        <w:rPr>
          <w:rFonts w:cstheme="minorHAnsi"/>
          <w:b/>
          <w:sz w:val="24"/>
          <w:szCs w:val="24"/>
        </w:rPr>
      </w:pPr>
      <w:r>
        <w:rPr>
          <w:rFonts w:cstheme="minorHAnsi"/>
          <w:b/>
          <w:sz w:val="24"/>
          <w:szCs w:val="24"/>
        </w:rPr>
        <w:t>SECTION 59</w:t>
      </w:r>
    </w:p>
    <w:p w14:paraId="26289A92" w14:textId="77777777" w:rsidR="005C4347" w:rsidRDefault="005C4347" w:rsidP="005C4347">
      <w:pPr>
        <w:spacing w:after="0" w:line="240" w:lineRule="auto"/>
        <w:jc w:val="both"/>
      </w:pPr>
    </w:p>
    <w:p w14:paraId="7EBE9FE9" w14:textId="7EA9CF9F" w:rsidR="005C4347" w:rsidRDefault="005C4347" w:rsidP="005C4347">
      <w:pPr>
        <w:jc w:val="center"/>
        <w:rPr>
          <w:b/>
          <w:bCs/>
          <w:sz w:val="24"/>
          <w:szCs w:val="24"/>
        </w:rPr>
      </w:pPr>
      <w:r>
        <w:rPr>
          <w:b/>
          <w:bCs/>
          <w:sz w:val="24"/>
          <w:szCs w:val="24"/>
        </w:rPr>
        <w:t>Dudley Metropolitan Borough Council Public Spaces Protection Order (Dudley Antisocial Vehicle Usage) 2025</w:t>
      </w:r>
    </w:p>
    <w:p w14:paraId="7209BBC8" w14:textId="77777777" w:rsidR="005C4347" w:rsidRDefault="005C4347" w:rsidP="005C4347">
      <w:pPr>
        <w:spacing w:after="0" w:line="240" w:lineRule="auto"/>
        <w:jc w:val="both"/>
        <w:rPr>
          <w:rFonts w:cstheme="minorHAnsi"/>
          <w:iCs/>
          <w:sz w:val="24"/>
          <w:szCs w:val="24"/>
        </w:rPr>
      </w:pPr>
      <w:r>
        <w:rPr>
          <w:rFonts w:cstheme="minorHAnsi"/>
          <w:iCs/>
          <w:sz w:val="24"/>
          <w:szCs w:val="24"/>
        </w:rPr>
        <w:t>Dudley Metropolitan Borough Council (“the Council”), in exercise of its powers under Section 59 of the Anti-Social Behaviour, Crime and Policing Act 2014 (“the Act”), and of all other enabling powers being satisfied that the conditions set out in Section 59 of the Act have been met, hereby makes the following order.</w:t>
      </w:r>
    </w:p>
    <w:p w14:paraId="7A75D785" w14:textId="77777777" w:rsidR="005C4347" w:rsidRDefault="005C4347" w:rsidP="005C4347">
      <w:pPr>
        <w:spacing w:after="0" w:line="240" w:lineRule="auto"/>
        <w:jc w:val="both"/>
        <w:rPr>
          <w:sz w:val="24"/>
          <w:szCs w:val="24"/>
        </w:rPr>
      </w:pPr>
    </w:p>
    <w:p w14:paraId="15DA10DD" w14:textId="77777777" w:rsidR="005C4347" w:rsidRPr="00F177D5" w:rsidRDefault="005C4347" w:rsidP="005C4347">
      <w:pPr>
        <w:jc w:val="both"/>
        <w:rPr>
          <w:sz w:val="24"/>
          <w:szCs w:val="24"/>
        </w:rPr>
      </w:pPr>
      <w:r w:rsidRPr="00F177D5">
        <w:rPr>
          <w:sz w:val="24"/>
          <w:szCs w:val="24"/>
        </w:rPr>
        <w:t xml:space="preserve">This Order comes into force on </w:t>
      </w:r>
      <w:r>
        <w:rPr>
          <w:sz w:val="24"/>
          <w:szCs w:val="24"/>
        </w:rPr>
        <w:t>[</w:t>
      </w:r>
      <w:r w:rsidRPr="00025D4B">
        <w:rPr>
          <w:b/>
          <w:bCs/>
          <w:sz w:val="24"/>
          <w:szCs w:val="24"/>
        </w:rPr>
        <w:t>Date to be confirmed</w:t>
      </w:r>
      <w:r>
        <w:rPr>
          <w:sz w:val="24"/>
          <w:szCs w:val="24"/>
        </w:rPr>
        <w:t>]</w:t>
      </w:r>
      <w:r w:rsidRPr="00F177D5">
        <w:rPr>
          <w:sz w:val="24"/>
          <w:szCs w:val="24"/>
        </w:rPr>
        <w:t xml:space="preserve"> for a period of 3 years, unless extended by further orders under the Council’s statutory powers.  </w:t>
      </w:r>
    </w:p>
    <w:p w14:paraId="69C5B863" w14:textId="77777777" w:rsidR="005C4347" w:rsidRPr="00F177D5" w:rsidRDefault="005C4347" w:rsidP="005C4347">
      <w:pPr>
        <w:jc w:val="both"/>
        <w:rPr>
          <w:rFonts w:cstheme="minorHAnsi"/>
          <w:b/>
          <w:bCs/>
          <w:sz w:val="24"/>
          <w:szCs w:val="24"/>
        </w:rPr>
      </w:pPr>
      <w:r w:rsidRPr="00F177D5">
        <w:rPr>
          <w:rFonts w:cstheme="minorHAnsi"/>
          <w:b/>
          <w:bCs/>
          <w:sz w:val="24"/>
          <w:szCs w:val="24"/>
        </w:rPr>
        <w:t>General provisions</w:t>
      </w:r>
    </w:p>
    <w:p w14:paraId="613FA074" w14:textId="7A67CA23" w:rsidR="005C4347" w:rsidRPr="00F177D5" w:rsidRDefault="005C4347" w:rsidP="005C4347">
      <w:pPr>
        <w:pStyle w:val="Default"/>
        <w:jc w:val="both"/>
        <w:rPr>
          <w:rFonts w:asciiTheme="minorHAnsi" w:hAnsiTheme="minorHAnsi" w:cstheme="minorHAnsi"/>
        </w:rPr>
      </w:pPr>
      <w:r w:rsidRPr="00F177D5">
        <w:rPr>
          <w:rFonts w:asciiTheme="minorHAnsi" w:hAnsiTheme="minorHAnsi" w:cstheme="minorHAnsi"/>
        </w:rPr>
        <w:t xml:space="preserve">This Order applies to Dudley </w:t>
      </w:r>
      <w:r>
        <w:rPr>
          <w:rFonts w:asciiTheme="minorHAnsi" w:hAnsiTheme="minorHAnsi" w:cstheme="minorHAnsi"/>
        </w:rPr>
        <w:t>Borough</w:t>
      </w:r>
      <w:r w:rsidR="006E3DAF">
        <w:rPr>
          <w:rFonts w:asciiTheme="minorHAnsi" w:hAnsiTheme="minorHAnsi" w:cstheme="minorHAnsi"/>
        </w:rPr>
        <w:t>. A</w:t>
      </w:r>
      <w:r>
        <w:rPr>
          <w:rFonts w:asciiTheme="minorHAnsi" w:hAnsiTheme="minorHAnsi" w:cstheme="minorHAnsi"/>
        </w:rPr>
        <w:t xml:space="preserve">ll areas covered within the exclusion zone </w:t>
      </w:r>
      <w:r w:rsidR="006E3DAF">
        <w:rPr>
          <w:rFonts w:asciiTheme="minorHAnsi" w:hAnsiTheme="minorHAnsi" w:cstheme="minorHAnsi"/>
        </w:rPr>
        <w:t xml:space="preserve">are </w:t>
      </w:r>
      <w:r>
        <w:rPr>
          <w:rFonts w:asciiTheme="minorHAnsi" w:hAnsiTheme="minorHAnsi" w:cstheme="minorHAnsi"/>
        </w:rPr>
        <w:t xml:space="preserve">set out in the attached Map. </w:t>
      </w:r>
    </w:p>
    <w:p w14:paraId="60FB70F5" w14:textId="77777777" w:rsidR="005C4347" w:rsidRPr="00F177D5" w:rsidRDefault="005C4347" w:rsidP="005C4347">
      <w:pPr>
        <w:pStyle w:val="ListParagraph"/>
        <w:jc w:val="both"/>
        <w:rPr>
          <w:sz w:val="24"/>
          <w:szCs w:val="24"/>
        </w:rPr>
      </w:pPr>
    </w:p>
    <w:p w14:paraId="292959A5" w14:textId="65EC5859" w:rsidR="005C4347" w:rsidRPr="00A046AA" w:rsidRDefault="005C4347" w:rsidP="00A046AA">
      <w:pPr>
        <w:pStyle w:val="ListParagraph"/>
        <w:numPr>
          <w:ilvl w:val="0"/>
          <w:numId w:val="11"/>
        </w:numPr>
        <w:spacing w:after="0" w:line="240" w:lineRule="auto"/>
        <w:jc w:val="both"/>
        <w:rPr>
          <w:rFonts w:cstheme="minorHAnsi"/>
          <w:sz w:val="24"/>
          <w:szCs w:val="24"/>
        </w:rPr>
      </w:pPr>
      <w:r w:rsidRPr="00A046AA">
        <w:rPr>
          <w:rFonts w:cstheme="minorHAnsi"/>
          <w:sz w:val="24"/>
          <w:szCs w:val="24"/>
        </w:rPr>
        <w:t xml:space="preserve">This Order prohibits the </w:t>
      </w:r>
      <w:proofErr w:type="gramStart"/>
      <w:r w:rsidRPr="00A046AA">
        <w:rPr>
          <w:rFonts w:cstheme="minorHAnsi"/>
          <w:sz w:val="24"/>
          <w:szCs w:val="24"/>
        </w:rPr>
        <w:t>following;</w:t>
      </w:r>
      <w:proofErr w:type="gramEnd"/>
    </w:p>
    <w:p w14:paraId="3CE0FD33" w14:textId="77777777" w:rsidR="00D94390" w:rsidRDefault="00D94390" w:rsidP="00D94390">
      <w:pPr>
        <w:pStyle w:val="ListParagraph"/>
      </w:pPr>
    </w:p>
    <w:p w14:paraId="3A429BB8" w14:textId="66CEFC5D" w:rsidR="00F0390C" w:rsidRPr="00E86AD4" w:rsidRDefault="00FA65E7" w:rsidP="00F0390C">
      <w:pPr>
        <w:pStyle w:val="ListParagraph"/>
        <w:numPr>
          <w:ilvl w:val="0"/>
          <w:numId w:val="3"/>
        </w:numPr>
      </w:pPr>
      <w:r w:rsidRPr="00E86AD4">
        <w:t>Entry to Restricted Area by persons in vehicles and cycles</w:t>
      </w:r>
      <w:r w:rsidR="00635101">
        <w:t>+</w:t>
      </w:r>
      <w:r w:rsidRPr="00E86AD4">
        <w:t xml:space="preserve"> (motorised or otherwise) at any time of day or night for the purpose of engaging in vehicle races</w:t>
      </w:r>
      <w:r w:rsidR="00F0390C" w:rsidRPr="00E86AD4">
        <w:t xml:space="preserve"> or motor stunts</w:t>
      </w:r>
      <w:r w:rsidR="00BC79E7" w:rsidRPr="00E86AD4">
        <w:t xml:space="preserve">* </w:t>
      </w:r>
      <w:r w:rsidR="00F0390C" w:rsidRPr="00E86AD4">
        <w:t xml:space="preserve"> or other dangerous or obstructive driving</w:t>
      </w:r>
      <w:r w:rsidR="00D94390" w:rsidRPr="00E86AD4">
        <w:t>.</w:t>
      </w:r>
    </w:p>
    <w:p w14:paraId="0ED79207" w14:textId="24F9C8AF" w:rsidR="00F0390C" w:rsidRPr="00E86AD4" w:rsidRDefault="004F6685" w:rsidP="00F0390C">
      <w:pPr>
        <w:pStyle w:val="ListParagraph"/>
        <w:numPr>
          <w:ilvl w:val="0"/>
          <w:numId w:val="3"/>
        </w:numPr>
      </w:pPr>
      <w:r>
        <w:t>Any person from</w:t>
      </w:r>
      <w:r w:rsidR="00F0390C" w:rsidRPr="00E86AD4">
        <w:t xml:space="preserve"> promot</w:t>
      </w:r>
      <w:r>
        <w:t>ing</w:t>
      </w:r>
      <w:r w:rsidR="00F0390C" w:rsidRPr="00E86AD4">
        <w:t>, organis</w:t>
      </w:r>
      <w:r>
        <w:t>ing</w:t>
      </w:r>
      <w:r w:rsidR="00F0390C" w:rsidRPr="00E86AD4">
        <w:t>, and/or publicis</w:t>
      </w:r>
      <w:r>
        <w:t>ing</w:t>
      </w:r>
      <w:r w:rsidR="00F0390C" w:rsidRPr="00E86AD4">
        <w:t xml:space="preserve"> (by any means whatsoever) motor racing or motor stunts or other dangerous or obstructive driving</w:t>
      </w:r>
      <w:r w:rsidR="006E3DAF">
        <w:t xml:space="preserve"> in a restricted area</w:t>
      </w:r>
      <w:r w:rsidR="00D94390" w:rsidRPr="00E86AD4">
        <w:t>.</w:t>
      </w:r>
    </w:p>
    <w:p w14:paraId="1CA5CC80" w14:textId="6B906336" w:rsidR="00F0390C" w:rsidRPr="00E86AD4" w:rsidRDefault="004F6685" w:rsidP="00F0390C">
      <w:pPr>
        <w:pStyle w:val="ListParagraph"/>
        <w:numPr>
          <w:ilvl w:val="0"/>
          <w:numId w:val="3"/>
        </w:numPr>
      </w:pPr>
      <w:r>
        <w:t xml:space="preserve">Any person </w:t>
      </w:r>
      <w:r w:rsidR="00F0390C" w:rsidRPr="00E86AD4">
        <w:t>driv</w:t>
      </w:r>
      <w:r w:rsidR="00AB0020">
        <w:t>ing</w:t>
      </w:r>
      <w:r w:rsidR="00F0390C" w:rsidRPr="00E86AD4">
        <w:t>, rid</w:t>
      </w:r>
      <w:r w:rsidR="00AB0020">
        <w:t>ing</w:t>
      </w:r>
      <w:r w:rsidR="00F0390C" w:rsidRPr="00E86AD4">
        <w:t xml:space="preserve"> or </w:t>
      </w:r>
      <w:r w:rsidR="00E23E3F">
        <w:t xml:space="preserve">is a </w:t>
      </w:r>
      <w:r w:rsidR="00F0390C" w:rsidRPr="00E86AD4">
        <w:t>passenger in or on a motor</w:t>
      </w:r>
      <w:r w:rsidR="00E23E3F">
        <w:t>ised</w:t>
      </w:r>
      <w:r w:rsidR="00F0390C" w:rsidRPr="00E86AD4">
        <w:t xml:space="preserve"> vehicle </w:t>
      </w:r>
      <w:r>
        <w:t>from</w:t>
      </w:r>
      <w:r w:rsidR="00F0390C" w:rsidRPr="00E86AD4">
        <w:t xml:space="preserve"> participat</w:t>
      </w:r>
      <w:r>
        <w:t>ing</w:t>
      </w:r>
      <w:r w:rsidR="00F0390C" w:rsidRPr="00E86AD4">
        <w:t xml:space="preserve"> in motor racing or motor stunts or other dangerous or obstructive driving</w:t>
      </w:r>
      <w:r w:rsidR="00D94390" w:rsidRPr="00E86AD4">
        <w:t>.</w:t>
      </w:r>
    </w:p>
    <w:p w14:paraId="71E8C8C1" w14:textId="790E3895" w:rsidR="002A461D" w:rsidRDefault="004F6685" w:rsidP="004F6685">
      <w:pPr>
        <w:pStyle w:val="ListParagraph"/>
        <w:numPr>
          <w:ilvl w:val="0"/>
          <w:numId w:val="3"/>
        </w:numPr>
      </w:pPr>
      <w:r>
        <w:t>G</w:t>
      </w:r>
      <w:r w:rsidR="002A461D" w:rsidRPr="00E86AD4">
        <w:t>athering in a public place</w:t>
      </w:r>
      <w:r>
        <w:t>,</w:t>
      </w:r>
      <w:r w:rsidR="002A461D" w:rsidRPr="00E86AD4">
        <w:t xml:space="preserve"> in</w:t>
      </w:r>
      <w:r>
        <w:t xml:space="preserve"> a r</w:t>
      </w:r>
      <w:r w:rsidR="002A461D" w:rsidRPr="00E86AD4">
        <w:t xml:space="preserve">estricted </w:t>
      </w:r>
      <w:r>
        <w:t>a</w:t>
      </w:r>
      <w:r w:rsidR="002A461D" w:rsidRPr="00E86AD4">
        <w:t>rea</w:t>
      </w:r>
      <w:r>
        <w:t>,</w:t>
      </w:r>
      <w:r w:rsidR="002A461D" w:rsidRPr="00E86AD4">
        <w:t xml:space="preserve"> with others for the purpose of preparing for vehicle and cycle (motorised or otherwise) racing</w:t>
      </w:r>
      <w:r>
        <w:t xml:space="preserve">, </w:t>
      </w:r>
      <w:r w:rsidRPr="00E86AD4">
        <w:t>motor stunts or other dangerous or obstructive driving</w:t>
      </w:r>
      <w:r>
        <w:t xml:space="preserve">, </w:t>
      </w:r>
      <w:r w:rsidR="002A461D" w:rsidRPr="00E86AD4">
        <w:t>or preparing</w:t>
      </w:r>
      <w:r w:rsidR="002A461D">
        <w:t xml:space="preserve"> vehicles and cycles (motorised or otherwise) for racing</w:t>
      </w:r>
      <w:r>
        <w:t xml:space="preserve">, </w:t>
      </w:r>
      <w:r w:rsidRPr="00E86AD4">
        <w:t>motor stunts or other dangerous or obstructive driving.</w:t>
      </w:r>
      <w:r w:rsidR="002A461D">
        <w:t xml:space="preserve"> </w:t>
      </w:r>
    </w:p>
    <w:p w14:paraId="0CB0FD2E" w14:textId="77777777" w:rsidR="004F6685" w:rsidRDefault="004F6685" w:rsidP="002A461D">
      <w:pPr>
        <w:pStyle w:val="ListParagraph"/>
        <w:numPr>
          <w:ilvl w:val="0"/>
          <w:numId w:val="3"/>
        </w:numPr>
      </w:pPr>
      <w:r>
        <w:t>Any person a</w:t>
      </w:r>
      <w:r w:rsidR="002A461D">
        <w:t>ttending or gathering in a public place for the purpose of watching vehicle and cycles (motorised or otherwise) racing</w:t>
      </w:r>
      <w:r>
        <w:t xml:space="preserve">, performing </w:t>
      </w:r>
      <w:r w:rsidRPr="00E86AD4">
        <w:t>motor stunts or other dangerous or obstructive driving</w:t>
      </w:r>
      <w:r w:rsidR="002A461D">
        <w:t xml:space="preserve">.  </w:t>
      </w:r>
    </w:p>
    <w:p w14:paraId="0A6A875B" w14:textId="6564CADA" w:rsidR="002A461D" w:rsidRDefault="004F6685" w:rsidP="002A461D">
      <w:pPr>
        <w:pStyle w:val="ListParagraph"/>
        <w:numPr>
          <w:ilvl w:val="0"/>
          <w:numId w:val="3"/>
        </w:numPr>
      </w:pPr>
      <w:r>
        <w:t>Any persons c</w:t>
      </w:r>
      <w:r w:rsidR="002A461D">
        <w:t xml:space="preserve">ongregating and loitering in groups and engaging in behaviour which is likely to cause </w:t>
      </w:r>
      <w:r w:rsidR="00A54687">
        <w:t xml:space="preserve">a nuisance, annoyance, </w:t>
      </w:r>
      <w:r w:rsidR="002A461D">
        <w:t>harassment, alarm or distress or causing damage to any property</w:t>
      </w:r>
      <w:r w:rsidR="005525D4">
        <w:t xml:space="preserve"> </w:t>
      </w:r>
      <w:r w:rsidR="002A461D">
        <w:t xml:space="preserve"> at any time of day or night. </w:t>
      </w:r>
    </w:p>
    <w:p w14:paraId="33D76F9F" w14:textId="5560646E" w:rsidR="002A461D" w:rsidRDefault="002A461D" w:rsidP="002A461D">
      <w:pPr>
        <w:pStyle w:val="ListParagraph"/>
        <w:numPr>
          <w:ilvl w:val="0"/>
          <w:numId w:val="3"/>
        </w:numPr>
      </w:pPr>
      <w:r>
        <w:t xml:space="preserve">Selling, offering or exposing for sale any goods, food or any other item within the public open spaces within Restricted Area without prior written permission of the </w:t>
      </w:r>
      <w:r w:rsidR="00BA26F9">
        <w:t>landowner</w:t>
      </w:r>
      <w:r>
        <w:t xml:space="preserve">, planning permission, or a street trading licence or other lawful permission. </w:t>
      </w:r>
    </w:p>
    <w:p w14:paraId="6AE1FE20" w14:textId="49C6ACAF" w:rsidR="002A461D" w:rsidRDefault="002A461D" w:rsidP="002A461D">
      <w:pPr>
        <w:pStyle w:val="ListParagraph"/>
        <w:numPr>
          <w:ilvl w:val="0"/>
          <w:numId w:val="3"/>
        </w:numPr>
      </w:pPr>
      <w:r>
        <w:t xml:space="preserve">Entry of persons in vehicles, cycle or scooter (motorised or otherwise) for the purposes of any activity that could cause </w:t>
      </w:r>
      <w:r w:rsidR="00756005">
        <w:t>nui</w:t>
      </w:r>
      <w:r w:rsidR="00EF6FA2">
        <w:t xml:space="preserve">sance, annoyance, </w:t>
      </w:r>
      <w:r>
        <w:t xml:space="preserve">harassment, alarm or distress to others, including the following activities: </w:t>
      </w:r>
    </w:p>
    <w:p w14:paraId="2344EA54" w14:textId="77777777" w:rsidR="00156E35" w:rsidRDefault="00156E35" w:rsidP="00156E35">
      <w:pPr>
        <w:pStyle w:val="ListParagraph"/>
        <w:ind w:left="1080"/>
      </w:pPr>
    </w:p>
    <w:p w14:paraId="184B2889" w14:textId="4B5350E3" w:rsidR="000A007D" w:rsidRDefault="000A007D" w:rsidP="0094636D">
      <w:pPr>
        <w:pStyle w:val="ListParagraph"/>
        <w:numPr>
          <w:ilvl w:val="0"/>
          <w:numId w:val="10"/>
        </w:numPr>
      </w:pPr>
      <w:r>
        <w:lastRenderedPageBreak/>
        <w:t xml:space="preserve">Revving of engines (as to cause a public nuisance) </w:t>
      </w:r>
    </w:p>
    <w:p w14:paraId="165ED7EE" w14:textId="0F228638" w:rsidR="000A007D" w:rsidRDefault="000A007D" w:rsidP="0094636D">
      <w:pPr>
        <w:pStyle w:val="ListParagraph"/>
        <w:numPr>
          <w:ilvl w:val="0"/>
          <w:numId w:val="10"/>
        </w:numPr>
      </w:pPr>
      <w:r>
        <w:t xml:space="preserve">Repeated sudden and rapid acceleration (as to cause a public nuisance) </w:t>
      </w:r>
    </w:p>
    <w:p w14:paraId="48B1D85B" w14:textId="77777777" w:rsidR="00163B73" w:rsidRDefault="00163B73" w:rsidP="0094636D">
      <w:pPr>
        <w:pStyle w:val="ListParagraph"/>
        <w:numPr>
          <w:ilvl w:val="0"/>
          <w:numId w:val="10"/>
        </w:numPr>
      </w:pPr>
      <w:r>
        <w:t xml:space="preserve">Sounding Horns (as to cause a public nuisance) </w:t>
      </w:r>
    </w:p>
    <w:p w14:paraId="69C609BA" w14:textId="32A5F707" w:rsidR="00163B73" w:rsidRDefault="00163B73" w:rsidP="0094636D">
      <w:pPr>
        <w:pStyle w:val="ListParagraph"/>
        <w:numPr>
          <w:ilvl w:val="0"/>
          <w:numId w:val="10"/>
        </w:numPr>
      </w:pPr>
      <w:r>
        <w:t xml:space="preserve">Playing music from a vehicle (as to cause a public nuisance) </w:t>
      </w:r>
    </w:p>
    <w:p w14:paraId="6D700946" w14:textId="3FFFAD28" w:rsidR="00163B73" w:rsidRDefault="00163B73" w:rsidP="0094636D">
      <w:pPr>
        <w:pStyle w:val="ListParagraph"/>
        <w:numPr>
          <w:ilvl w:val="0"/>
          <w:numId w:val="10"/>
        </w:numPr>
      </w:pPr>
      <w:r>
        <w:t xml:space="preserve">Using threatening, intimidating behaviour or language towards another person </w:t>
      </w:r>
    </w:p>
    <w:p w14:paraId="0DE29908" w14:textId="77777777" w:rsidR="00542E02" w:rsidRDefault="00542E02" w:rsidP="0094636D">
      <w:pPr>
        <w:pStyle w:val="ListParagraph"/>
        <w:numPr>
          <w:ilvl w:val="0"/>
          <w:numId w:val="10"/>
        </w:numPr>
      </w:pPr>
      <w:r>
        <w:t xml:space="preserve">Causing an obstruction on a public highway, whether in a moving or stationary vehicle including driving in a convoy </w:t>
      </w:r>
    </w:p>
    <w:p w14:paraId="491577DC" w14:textId="326CC777" w:rsidR="00542E02" w:rsidRDefault="00542E02" w:rsidP="0094636D">
      <w:pPr>
        <w:pStyle w:val="ListParagraph"/>
        <w:numPr>
          <w:ilvl w:val="0"/>
          <w:numId w:val="10"/>
        </w:numPr>
      </w:pPr>
      <w:r>
        <w:t xml:space="preserve">Parking </w:t>
      </w:r>
      <w:r w:rsidR="004F6685">
        <w:t>on</w:t>
      </w:r>
      <w:r>
        <w:t xml:space="preserve"> pedestrian footpaths and </w:t>
      </w:r>
      <w:r w:rsidR="004F6685">
        <w:t xml:space="preserve">in </w:t>
      </w:r>
      <w:r>
        <w:t xml:space="preserve">pedestrian areas </w:t>
      </w:r>
    </w:p>
    <w:p w14:paraId="600432EB" w14:textId="77777777" w:rsidR="004F6685" w:rsidRDefault="00542E02" w:rsidP="0094636D">
      <w:pPr>
        <w:pStyle w:val="ListParagraph"/>
        <w:numPr>
          <w:ilvl w:val="0"/>
          <w:numId w:val="10"/>
        </w:numPr>
      </w:pPr>
      <w:r>
        <w:t xml:space="preserve">Any other behaviour that may cause a public nuisance </w:t>
      </w:r>
    </w:p>
    <w:p w14:paraId="0E28E194" w14:textId="0568AB98" w:rsidR="004F6685" w:rsidRDefault="00FB4991" w:rsidP="00FB4991">
      <w:pPr>
        <w:spacing w:after="0"/>
        <w:ind w:left="720"/>
      </w:pPr>
      <w:r w:rsidRPr="00FB4991">
        <w:rPr>
          <w:highlight w:val="yellow"/>
        </w:rPr>
        <w:t xml:space="preserve">For the avoidance of doubt, a person does not fail to comply with any of the above obligations if they have prior written </w:t>
      </w:r>
      <w:r>
        <w:rPr>
          <w:highlight w:val="yellow"/>
        </w:rPr>
        <w:t>agreement/</w:t>
      </w:r>
      <w:r w:rsidRPr="00FB4991">
        <w:rPr>
          <w:highlight w:val="yellow"/>
        </w:rPr>
        <w:t xml:space="preserve">consent from </w:t>
      </w:r>
      <w:r>
        <w:rPr>
          <w:highlight w:val="yellow"/>
        </w:rPr>
        <w:t>the Council</w:t>
      </w:r>
      <w:r w:rsidRPr="00FB4991">
        <w:rPr>
          <w:highlight w:val="yellow"/>
        </w:rPr>
        <w:t>.</w:t>
      </w:r>
      <w:r>
        <w:t xml:space="preserve"> </w:t>
      </w:r>
    </w:p>
    <w:p w14:paraId="1DF4034B" w14:textId="77777777" w:rsidR="00FB4991" w:rsidRDefault="00FB4991" w:rsidP="00FB4991">
      <w:pPr>
        <w:spacing w:after="0"/>
        <w:ind w:left="720"/>
      </w:pPr>
    </w:p>
    <w:p w14:paraId="72745994" w14:textId="7E701CD0" w:rsidR="004F6685" w:rsidRDefault="004F6685" w:rsidP="004F6685">
      <w:pPr>
        <w:spacing w:after="0"/>
      </w:pPr>
      <w:r>
        <w:t xml:space="preserve">                </w:t>
      </w:r>
      <w:r w:rsidR="00635101">
        <w:t>+</w:t>
      </w:r>
      <w:r w:rsidR="00D70D1A">
        <w:t xml:space="preserve"> </w:t>
      </w:r>
      <w:r w:rsidR="00EA3E31">
        <w:t xml:space="preserve">a cycle </w:t>
      </w:r>
      <w:r w:rsidR="00542E02">
        <w:t>includes a pedal cycle, which includes a power assisted pedal cycle or</w:t>
      </w:r>
    </w:p>
    <w:p w14:paraId="7DB49EB1" w14:textId="28A01BBA" w:rsidR="004F6685" w:rsidRDefault="004F6685" w:rsidP="004F6685">
      <w:pPr>
        <w:spacing w:after="0"/>
      </w:pPr>
      <w:r>
        <w:t xml:space="preserve">                   </w:t>
      </w:r>
      <w:r w:rsidR="00542E02">
        <w:t xml:space="preserve">a pedal cycle in combination with a trailer, constructed or adapted for carrying </w:t>
      </w:r>
      <w:r>
        <w:t xml:space="preserve"> </w:t>
      </w:r>
    </w:p>
    <w:p w14:paraId="57A4165A" w14:textId="7ED6B9E6" w:rsidR="00542E02" w:rsidRDefault="004F6685" w:rsidP="004F6685">
      <w:pPr>
        <w:spacing w:after="0"/>
      </w:pPr>
      <w:r>
        <w:t xml:space="preserve">                   one or</w:t>
      </w:r>
      <w:r w:rsidR="00542E02">
        <w:t xml:space="preserve"> more passengers</w:t>
      </w:r>
      <w:r w:rsidR="000C7692">
        <w:t>.</w:t>
      </w:r>
    </w:p>
    <w:p w14:paraId="5244B8EA" w14:textId="77777777" w:rsidR="004F6685" w:rsidRDefault="004F6685" w:rsidP="004F6685">
      <w:pPr>
        <w:spacing w:after="0"/>
      </w:pPr>
    </w:p>
    <w:p w14:paraId="11FF08B7" w14:textId="5F8A5E2C" w:rsidR="00F0390C" w:rsidRPr="0094636D" w:rsidRDefault="003E6FBA" w:rsidP="000D57BE">
      <w:pPr>
        <w:ind w:left="720"/>
      </w:pPr>
      <w:r w:rsidRPr="0094636D">
        <w:t xml:space="preserve">* </w:t>
      </w:r>
      <w:r w:rsidR="00F0390C" w:rsidRPr="0094636D">
        <w:t xml:space="preserve">Stunts are </w:t>
      </w:r>
      <w:r w:rsidR="006E3DAF">
        <w:t xml:space="preserve">defined as </w:t>
      </w:r>
      <w:r w:rsidR="00F0390C" w:rsidRPr="0094636D">
        <w:t>driving manoeuvres including but not limited to:</w:t>
      </w:r>
    </w:p>
    <w:p w14:paraId="5F9BCB76" w14:textId="098CD7C7" w:rsidR="00F0390C" w:rsidRPr="0094636D" w:rsidRDefault="00F0390C" w:rsidP="000D57BE">
      <w:pPr>
        <w:ind w:left="720"/>
      </w:pPr>
      <w:r w:rsidRPr="0094636D">
        <w:t>(1) “Burnouts” Causing a vehicle to damage or destroy its tyres by applying power to the drive wheels while braking so as to remain in place while the wheels revolve at speed.</w:t>
      </w:r>
    </w:p>
    <w:p w14:paraId="293C2D1C" w14:textId="2E3165A7" w:rsidR="00F0390C" w:rsidRPr="0094636D" w:rsidRDefault="00F0390C" w:rsidP="000D57BE">
      <w:pPr>
        <w:ind w:left="720"/>
      </w:pPr>
      <w:r w:rsidRPr="0094636D">
        <w:t>(2) “Donuts/</w:t>
      </w:r>
      <w:proofErr w:type="spellStart"/>
      <w:r w:rsidRPr="0094636D">
        <w:t>Donutting</w:t>
      </w:r>
      <w:proofErr w:type="spellEnd"/>
      <w:r w:rsidRPr="0094636D">
        <w:t>” Causing a vehicle to rotate around a fixed point (normally the front axle) while not moving off causing noise, smoke and tyre marks to be created.</w:t>
      </w:r>
    </w:p>
    <w:p w14:paraId="55B8F5B4" w14:textId="381579D5" w:rsidR="00F0390C" w:rsidRPr="0094636D" w:rsidRDefault="00F0390C" w:rsidP="000D57BE">
      <w:pPr>
        <w:ind w:left="720"/>
      </w:pPr>
      <w:r w:rsidRPr="0094636D">
        <w:t>(3) “Drifting” Turning by placing the vehicle in a skid so that most sideways motion is due to the skid not any significant steering input.</w:t>
      </w:r>
    </w:p>
    <w:p w14:paraId="5284256F" w14:textId="2AEFA2C4" w:rsidR="00F0390C" w:rsidRDefault="00F0390C" w:rsidP="000D57BE">
      <w:pPr>
        <w:ind w:left="720"/>
      </w:pPr>
      <w:r w:rsidRPr="0094636D">
        <w:t>(4) “Undertaking” passing a vehicle on its nearside so as to overtake in circumstances not permitted by the Highway Code</w:t>
      </w:r>
    </w:p>
    <w:p w14:paraId="46E05021" w14:textId="440D18D0" w:rsidR="00A046AA" w:rsidRPr="00A046AA" w:rsidRDefault="00A046AA" w:rsidP="00A046AA">
      <w:pPr>
        <w:pStyle w:val="ListParagraph"/>
        <w:numPr>
          <w:ilvl w:val="0"/>
          <w:numId w:val="11"/>
        </w:numPr>
        <w:spacing w:after="0" w:line="240" w:lineRule="auto"/>
        <w:jc w:val="both"/>
        <w:rPr>
          <w:rFonts w:cstheme="minorHAnsi"/>
          <w:sz w:val="24"/>
          <w:szCs w:val="24"/>
        </w:rPr>
      </w:pPr>
      <w:r w:rsidRPr="00A046AA">
        <w:rPr>
          <w:rFonts w:cstheme="minorHAnsi"/>
          <w:sz w:val="24"/>
          <w:szCs w:val="24"/>
        </w:rPr>
        <w:t>A person who fails to comply with any obligation imposed under this Order is guilty of a criminal offence by virtue of section 67(1) of the Anti-social Behaviour Crime and Policing Act 2014 and liable to a fine on summary conviction not exceeding level 3 on the standard scale.</w:t>
      </w:r>
    </w:p>
    <w:p w14:paraId="266EE1E6" w14:textId="77777777" w:rsidR="00A046AA" w:rsidRDefault="00A046AA" w:rsidP="00A046AA">
      <w:pPr>
        <w:ind w:left="360"/>
        <w:jc w:val="both"/>
        <w:rPr>
          <w:sz w:val="24"/>
          <w:szCs w:val="24"/>
        </w:rPr>
      </w:pPr>
    </w:p>
    <w:p w14:paraId="06DCFB37" w14:textId="77777777" w:rsidR="00A046AA" w:rsidRDefault="00A046AA" w:rsidP="00A046AA">
      <w:pPr>
        <w:pStyle w:val="ListParagraph"/>
        <w:tabs>
          <w:tab w:val="left" w:pos="284"/>
        </w:tabs>
        <w:spacing w:after="0" w:line="240" w:lineRule="auto"/>
        <w:ind w:left="360"/>
        <w:jc w:val="both"/>
        <w:rPr>
          <w:b/>
          <w:sz w:val="24"/>
          <w:szCs w:val="24"/>
        </w:rPr>
      </w:pPr>
      <w:r>
        <w:rPr>
          <w:b/>
          <w:sz w:val="24"/>
          <w:szCs w:val="24"/>
        </w:rPr>
        <w:t>Fixed Penalty Fines</w:t>
      </w:r>
    </w:p>
    <w:p w14:paraId="669E2B78" w14:textId="77777777" w:rsidR="00A046AA" w:rsidRDefault="00A046AA" w:rsidP="00A046AA">
      <w:pPr>
        <w:pStyle w:val="ListParagraph"/>
        <w:tabs>
          <w:tab w:val="left" w:pos="284"/>
        </w:tabs>
        <w:spacing w:after="0" w:line="240" w:lineRule="auto"/>
        <w:ind w:left="360"/>
        <w:jc w:val="both"/>
        <w:rPr>
          <w:b/>
          <w:sz w:val="24"/>
          <w:szCs w:val="24"/>
        </w:rPr>
      </w:pPr>
      <w:r>
        <w:rPr>
          <w:b/>
          <w:sz w:val="24"/>
          <w:szCs w:val="24"/>
        </w:rPr>
        <w:br/>
      </w:r>
      <w:r>
        <w:rPr>
          <w:sz w:val="24"/>
          <w:szCs w:val="24"/>
        </w:rPr>
        <w:t>It is an offence for a person, without reasonable excuse to engage in any activity prohibited by this Order.  An authorised person, including a Police Officer or a Police Community Support Officer may, under section 68 of the Anti-social Behaviour Crime and Policing Act 2014, issue a Fixed Penalty Notice to anyone they believe has committed an offence in relation to this Order.  The Fixed Penalty will not exceed the sum of £100, failure to pay may lead to prosecution.  A person who is guilty of an offence of failing to comply with a requirement of this Order will be liable on summary conviction to a fine not exceeding level 3 on the standard scale.</w:t>
      </w:r>
    </w:p>
    <w:p w14:paraId="5CF6872A" w14:textId="77777777" w:rsidR="00A046AA" w:rsidRDefault="00A046AA" w:rsidP="00A046AA">
      <w:pPr>
        <w:pStyle w:val="ListParagraph"/>
        <w:tabs>
          <w:tab w:val="left" w:pos="284"/>
        </w:tabs>
        <w:spacing w:after="0" w:line="240" w:lineRule="auto"/>
        <w:ind w:left="360"/>
        <w:jc w:val="both"/>
        <w:rPr>
          <w:b/>
          <w:sz w:val="24"/>
          <w:szCs w:val="24"/>
        </w:rPr>
      </w:pPr>
    </w:p>
    <w:p w14:paraId="78AC37A9" w14:textId="77777777" w:rsidR="00A046AA" w:rsidRDefault="00A046AA" w:rsidP="00A046AA">
      <w:pPr>
        <w:pStyle w:val="ListParagraph"/>
        <w:tabs>
          <w:tab w:val="left" w:pos="284"/>
        </w:tabs>
        <w:spacing w:after="0" w:line="240" w:lineRule="auto"/>
        <w:ind w:left="360"/>
        <w:jc w:val="both"/>
        <w:rPr>
          <w:b/>
          <w:sz w:val="24"/>
          <w:szCs w:val="24"/>
        </w:rPr>
      </w:pPr>
      <w:r>
        <w:rPr>
          <w:b/>
          <w:sz w:val="24"/>
          <w:szCs w:val="24"/>
        </w:rPr>
        <w:t>Appeals and Challenges</w:t>
      </w:r>
    </w:p>
    <w:p w14:paraId="01E053B2" w14:textId="77777777" w:rsidR="00A046AA" w:rsidRDefault="00A046AA" w:rsidP="00A046AA">
      <w:pPr>
        <w:pStyle w:val="ListParagraph"/>
        <w:tabs>
          <w:tab w:val="left" w:pos="284"/>
        </w:tabs>
        <w:spacing w:after="0" w:line="240" w:lineRule="auto"/>
        <w:ind w:left="360"/>
        <w:jc w:val="both"/>
        <w:rPr>
          <w:sz w:val="24"/>
          <w:szCs w:val="24"/>
        </w:rPr>
      </w:pPr>
      <w:r>
        <w:rPr>
          <w:b/>
          <w:sz w:val="24"/>
          <w:szCs w:val="24"/>
        </w:rPr>
        <w:br/>
      </w:r>
      <w:r>
        <w:rPr>
          <w:sz w:val="24"/>
          <w:szCs w:val="24"/>
        </w:rPr>
        <w:t xml:space="preserve">In accordance with Section 66 of the Anti-Social Behaviour, Crime and Policing Act </w:t>
      </w:r>
      <w:r>
        <w:rPr>
          <w:sz w:val="24"/>
          <w:szCs w:val="24"/>
        </w:rPr>
        <w:lastRenderedPageBreak/>
        <w:t>2014, any challenge to this Order must be made to the High Court by an interested party within six weeks of the date that the Order was made.</w:t>
      </w:r>
    </w:p>
    <w:p w14:paraId="15F78C8A" w14:textId="77777777" w:rsidR="00A046AA" w:rsidRDefault="00A046AA" w:rsidP="00A046AA">
      <w:pPr>
        <w:pStyle w:val="ListParagraph"/>
        <w:tabs>
          <w:tab w:val="left" w:pos="284"/>
        </w:tabs>
        <w:spacing w:after="0" w:line="240" w:lineRule="auto"/>
        <w:ind w:left="360"/>
        <w:jc w:val="both"/>
        <w:rPr>
          <w:sz w:val="24"/>
          <w:szCs w:val="24"/>
        </w:rPr>
      </w:pPr>
      <w:r>
        <w:rPr>
          <w:sz w:val="24"/>
          <w:szCs w:val="24"/>
        </w:rPr>
        <w:br/>
        <w:t>Any interested person who wishes to challenge the validity of this Order on the grounds that the Council did not have the power to make the Order or that any requirements of the Act have not been complied with may apply to the High Court within six weeks from the date on which this Order was made.</w:t>
      </w:r>
    </w:p>
    <w:p w14:paraId="54D73871" w14:textId="77777777" w:rsidR="00A046AA" w:rsidRDefault="00A046AA" w:rsidP="00A046AA">
      <w:pPr>
        <w:pStyle w:val="ListParagraph"/>
        <w:tabs>
          <w:tab w:val="left" w:pos="284"/>
        </w:tabs>
        <w:spacing w:after="0" w:line="240" w:lineRule="auto"/>
        <w:ind w:left="360"/>
        <w:jc w:val="both"/>
        <w:rPr>
          <w:b/>
          <w:sz w:val="24"/>
          <w:szCs w:val="24"/>
        </w:rPr>
      </w:pPr>
      <w:r>
        <w:rPr>
          <w:sz w:val="24"/>
          <w:szCs w:val="24"/>
        </w:rPr>
        <w:br/>
        <w:t xml:space="preserve">An interested party is defined by the Act as someone who lives in, regularly works in or visits the Restricted Area.  This means that only those who are directly affected by the restrictions have the power to challenge.  </w:t>
      </w:r>
    </w:p>
    <w:p w14:paraId="5F9D1B45" w14:textId="77777777" w:rsidR="00A046AA" w:rsidRDefault="00A046AA" w:rsidP="00A046AA">
      <w:pPr>
        <w:pStyle w:val="ListParagraph"/>
        <w:tabs>
          <w:tab w:val="left" w:pos="0"/>
          <w:tab w:val="left" w:pos="284"/>
        </w:tabs>
        <w:spacing w:after="0" w:line="240" w:lineRule="auto"/>
        <w:ind w:left="0"/>
        <w:jc w:val="both"/>
        <w:rPr>
          <w:color w:val="FF0000"/>
          <w:sz w:val="24"/>
          <w:szCs w:val="24"/>
        </w:rPr>
      </w:pPr>
    </w:p>
    <w:p w14:paraId="292C0633" w14:textId="77777777" w:rsidR="00A046AA" w:rsidRDefault="00A046AA" w:rsidP="00A046AA">
      <w:pPr>
        <w:pStyle w:val="ListParagraph"/>
        <w:tabs>
          <w:tab w:val="left" w:pos="0"/>
          <w:tab w:val="left" w:pos="284"/>
        </w:tabs>
        <w:spacing w:after="0" w:line="360" w:lineRule="auto"/>
        <w:ind w:left="0"/>
        <w:jc w:val="both"/>
        <w:rPr>
          <w:sz w:val="24"/>
          <w:szCs w:val="24"/>
        </w:rPr>
      </w:pPr>
    </w:p>
    <w:p w14:paraId="18F6AE18" w14:textId="389EB337" w:rsidR="00A046AA" w:rsidRPr="0009015A" w:rsidRDefault="00A046AA" w:rsidP="00A046AA">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THE COMMON SEAL of THE</w:t>
      </w:r>
      <w:r>
        <w:rPr>
          <w:sz w:val="24"/>
          <w:szCs w:val="24"/>
        </w:rPr>
        <w:tab/>
      </w:r>
      <w:r>
        <w:rPr>
          <w:sz w:val="24"/>
          <w:szCs w:val="24"/>
        </w:rPr>
        <w:tab/>
      </w:r>
      <w:r w:rsidR="007B19F5">
        <w:rPr>
          <w:sz w:val="24"/>
          <w:szCs w:val="24"/>
        </w:rPr>
        <w:tab/>
      </w:r>
      <w:r>
        <w:rPr>
          <w:sz w:val="24"/>
          <w:szCs w:val="24"/>
        </w:rPr>
        <w:t>)</w:t>
      </w:r>
    </w:p>
    <w:p w14:paraId="4A8180D8" w14:textId="77777777" w:rsidR="00A046AA" w:rsidRPr="0009015A" w:rsidRDefault="00A046AA" w:rsidP="00A046AA">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BOROUGH COUNCIL OF DUDLEY</w:t>
      </w:r>
      <w:r>
        <w:rPr>
          <w:sz w:val="24"/>
          <w:szCs w:val="24"/>
        </w:rPr>
        <w:tab/>
      </w:r>
      <w:r>
        <w:rPr>
          <w:sz w:val="24"/>
          <w:szCs w:val="24"/>
        </w:rPr>
        <w:tab/>
        <w:t>)</w:t>
      </w:r>
    </w:p>
    <w:p w14:paraId="6538CC29" w14:textId="3B4E19A6" w:rsidR="00A046AA" w:rsidRPr="0009015A" w:rsidRDefault="00A046AA" w:rsidP="00A046AA">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 xml:space="preserve">Was hereunto affixed on this </w:t>
      </w:r>
      <w:proofErr w:type="gramStart"/>
      <w:r w:rsidR="007B19F5">
        <w:rPr>
          <w:sz w:val="24"/>
          <w:szCs w:val="24"/>
        </w:rPr>
        <w:t>[Day]</w:t>
      </w:r>
      <w:r w:rsidRPr="0009015A">
        <w:rPr>
          <w:sz w:val="24"/>
          <w:szCs w:val="24"/>
        </w:rPr>
        <w:t xml:space="preserve"> day</w:t>
      </w:r>
      <w:proofErr w:type="gramEnd"/>
      <w:r>
        <w:rPr>
          <w:sz w:val="24"/>
          <w:szCs w:val="24"/>
        </w:rPr>
        <w:tab/>
      </w:r>
      <w:r w:rsidR="007B19F5">
        <w:rPr>
          <w:sz w:val="24"/>
          <w:szCs w:val="24"/>
        </w:rPr>
        <w:tab/>
      </w:r>
      <w:r>
        <w:rPr>
          <w:sz w:val="24"/>
          <w:szCs w:val="24"/>
        </w:rPr>
        <w:t>)</w:t>
      </w:r>
    </w:p>
    <w:p w14:paraId="4EFD3E19" w14:textId="2336B517" w:rsidR="00A046AA" w:rsidRPr="0009015A" w:rsidRDefault="00A046AA" w:rsidP="00A046AA">
      <w:pPr>
        <w:pStyle w:val="ListParagraph"/>
        <w:tabs>
          <w:tab w:val="left" w:pos="0"/>
          <w:tab w:val="left" w:pos="284"/>
        </w:tabs>
        <w:spacing w:after="0" w:line="360" w:lineRule="auto"/>
        <w:ind w:left="0"/>
        <w:jc w:val="both"/>
        <w:rPr>
          <w:sz w:val="24"/>
          <w:szCs w:val="24"/>
        </w:rPr>
      </w:pPr>
      <w:r>
        <w:rPr>
          <w:sz w:val="24"/>
          <w:szCs w:val="24"/>
        </w:rPr>
        <w:tab/>
        <w:t>o</w:t>
      </w:r>
      <w:r w:rsidRPr="0009015A">
        <w:rPr>
          <w:sz w:val="24"/>
          <w:szCs w:val="24"/>
        </w:rPr>
        <w:t xml:space="preserve">f </w:t>
      </w:r>
      <w:r w:rsidR="007B19F5">
        <w:rPr>
          <w:sz w:val="24"/>
          <w:szCs w:val="24"/>
        </w:rPr>
        <w:t>[Month – Year]</w:t>
      </w:r>
      <w:r w:rsidRPr="0009015A">
        <w:rPr>
          <w:sz w:val="24"/>
          <w:szCs w:val="24"/>
        </w:rPr>
        <w:t xml:space="preserve"> in the presence of :-</w:t>
      </w:r>
      <w:r>
        <w:rPr>
          <w:sz w:val="24"/>
          <w:szCs w:val="24"/>
        </w:rPr>
        <w:tab/>
      </w:r>
      <w:r>
        <w:rPr>
          <w:sz w:val="24"/>
          <w:szCs w:val="24"/>
        </w:rPr>
        <w:tab/>
        <w:t>)</w:t>
      </w:r>
    </w:p>
    <w:p w14:paraId="0CA8E831" w14:textId="77777777" w:rsidR="00A046AA" w:rsidRPr="0094636D" w:rsidRDefault="00A046AA" w:rsidP="000D57BE">
      <w:pPr>
        <w:ind w:left="720"/>
      </w:pPr>
    </w:p>
    <w:sectPr w:rsidR="00A046AA" w:rsidRPr="00946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B80"/>
    <w:multiLevelType w:val="multilevel"/>
    <w:tmpl w:val="A1B2B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718F6"/>
    <w:multiLevelType w:val="hybridMultilevel"/>
    <w:tmpl w:val="3C0AB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138E1"/>
    <w:multiLevelType w:val="hybridMultilevel"/>
    <w:tmpl w:val="641CF4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F64066"/>
    <w:multiLevelType w:val="multilevel"/>
    <w:tmpl w:val="A1B2B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B72B35"/>
    <w:multiLevelType w:val="hybridMultilevel"/>
    <w:tmpl w:val="B1AEF948"/>
    <w:lvl w:ilvl="0" w:tplc="C86A3A16">
      <w:start w:val="1"/>
      <w:numFmt w:val="decimal"/>
      <w:lvlText w:val="%1)"/>
      <w:lvlJc w:val="left"/>
      <w:pPr>
        <w:ind w:left="1020" w:hanging="360"/>
      </w:pPr>
    </w:lvl>
    <w:lvl w:ilvl="1" w:tplc="CE786B4E">
      <w:start w:val="1"/>
      <w:numFmt w:val="decimal"/>
      <w:lvlText w:val="%2)"/>
      <w:lvlJc w:val="left"/>
      <w:pPr>
        <w:ind w:left="1020" w:hanging="360"/>
      </w:pPr>
    </w:lvl>
    <w:lvl w:ilvl="2" w:tplc="076AEB96">
      <w:start w:val="1"/>
      <w:numFmt w:val="decimal"/>
      <w:lvlText w:val="%3)"/>
      <w:lvlJc w:val="left"/>
      <w:pPr>
        <w:ind w:left="1020" w:hanging="360"/>
      </w:pPr>
    </w:lvl>
    <w:lvl w:ilvl="3" w:tplc="9C9C83A8">
      <w:start w:val="1"/>
      <w:numFmt w:val="decimal"/>
      <w:lvlText w:val="%4)"/>
      <w:lvlJc w:val="left"/>
      <w:pPr>
        <w:ind w:left="1020" w:hanging="360"/>
      </w:pPr>
    </w:lvl>
    <w:lvl w:ilvl="4" w:tplc="255A5D4A">
      <w:start w:val="1"/>
      <w:numFmt w:val="decimal"/>
      <w:lvlText w:val="%5)"/>
      <w:lvlJc w:val="left"/>
      <w:pPr>
        <w:ind w:left="1020" w:hanging="360"/>
      </w:pPr>
    </w:lvl>
    <w:lvl w:ilvl="5" w:tplc="74FC740A">
      <w:start w:val="1"/>
      <w:numFmt w:val="decimal"/>
      <w:lvlText w:val="%6)"/>
      <w:lvlJc w:val="left"/>
      <w:pPr>
        <w:ind w:left="1020" w:hanging="360"/>
      </w:pPr>
    </w:lvl>
    <w:lvl w:ilvl="6" w:tplc="484E6078">
      <w:start w:val="1"/>
      <w:numFmt w:val="decimal"/>
      <w:lvlText w:val="%7)"/>
      <w:lvlJc w:val="left"/>
      <w:pPr>
        <w:ind w:left="1020" w:hanging="360"/>
      </w:pPr>
    </w:lvl>
    <w:lvl w:ilvl="7" w:tplc="2EE8EA4A">
      <w:start w:val="1"/>
      <w:numFmt w:val="decimal"/>
      <w:lvlText w:val="%8)"/>
      <w:lvlJc w:val="left"/>
      <w:pPr>
        <w:ind w:left="1020" w:hanging="360"/>
      </w:pPr>
    </w:lvl>
    <w:lvl w:ilvl="8" w:tplc="AA2CDB96">
      <w:start w:val="1"/>
      <w:numFmt w:val="decimal"/>
      <w:lvlText w:val="%9)"/>
      <w:lvlJc w:val="left"/>
      <w:pPr>
        <w:ind w:left="1020" w:hanging="360"/>
      </w:pPr>
    </w:lvl>
  </w:abstractNum>
  <w:abstractNum w:abstractNumId="5" w15:restartNumberingAfterBreak="0">
    <w:nsid w:val="325F1A87"/>
    <w:multiLevelType w:val="multilevel"/>
    <w:tmpl w:val="A1B2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B0625"/>
    <w:multiLevelType w:val="hybridMultilevel"/>
    <w:tmpl w:val="115AFE08"/>
    <w:lvl w:ilvl="0" w:tplc="08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F571B39"/>
    <w:multiLevelType w:val="hybridMultilevel"/>
    <w:tmpl w:val="0EE25F1E"/>
    <w:lvl w:ilvl="0" w:tplc="F30825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E511BA"/>
    <w:multiLevelType w:val="multilevel"/>
    <w:tmpl w:val="A1B2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CCB"/>
    <w:multiLevelType w:val="hybridMultilevel"/>
    <w:tmpl w:val="30AEF1B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9A3A5B"/>
    <w:multiLevelType w:val="hybridMultilevel"/>
    <w:tmpl w:val="1AE420F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68213246">
    <w:abstractNumId w:val="3"/>
  </w:num>
  <w:num w:numId="2" w16cid:durableId="205677628">
    <w:abstractNumId w:val="9"/>
  </w:num>
  <w:num w:numId="3" w16cid:durableId="1730885478">
    <w:abstractNumId w:val="7"/>
  </w:num>
  <w:num w:numId="4" w16cid:durableId="1350722477">
    <w:abstractNumId w:val="0"/>
  </w:num>
  <w:num w:numId="5" w16cid:durableId="756054729">
    <w:abstractNumId w:val="8"/>
  </w:num>
  <w:num w:numId="6" w16cid:durableId="1476214552">
    <w:abstractNumId w:val="5"/>
  </w:num>
  <w:num w:numId="7" w16cid:durableId="1890145228">
    <w:abstractNumId w:val="10"/>
  </w:num>
  <w:num w:numId="8" w16cid:durableId="317156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478606">
    <w:abstractNumId w:val="2"/>
  </w:num>
  <w:num w:numId="10" w16cid:durableId="1696539178">
    <w:abstractNumId w:val="6"/>
  </w:num>
  <w:num w:numId="11" w16cid:durableId="315383587">
    <w:abstractNumId w:val="1"/>
  </w:num>
  <w:num w:numId="12" w16cid:durableId="1320235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12"/>
    <w:rsid w:val="00051D65"/>
    <w:rsid w:val="000812D8"/>
    <w:rsid w:val="000A007D"/>
    <w:rsid w:val="000C7692"/>
    <w:rsid w:val="000D57BE"/>
    <w:rsid w:val="000F25DD"/>
    <w:rsid w:val="00106E39"/>
    <w:rsid w:val="00156E35"/>
    <w:rsid w:val="00163B73"/>
    <w:rsid w:val="001B0BE6"/>
    <w:rsid w:val="002448CC"/>
    <w:rsid w:val="002A461D"/>
    <w:rsid w:val="002F508F"/>
    <w:rsid w:val="00335928"/>
    <w:rsid w:val="0034642E"/>
    <w:rsid w:val="00374166"/>
    <w:rsid w:val="003E6FBA"/>
    <w:rsid w:val="004E3E7F"/>
    <w:rsid w:val="004F6685"/>
    <w:rsid w:val="00510281"/>
    <w:rsid w:val="00542E02"/>
    <w:rsid w:val="005525D4"/>
    <w:rsid w:val="00590E63"/>
    <w:rsid w:val="005C4347"/>
    <w:rsid w:val="00620355"/>
    <w:rsid w:val="00635101"/>
    <w:rsid w:val="00666485"/>
    <w:rsid w:val="00673EB7"/>
    <w:rsid w:val="00686D4E"/>
    <w:rsid w:val="006B0CC9"/>
    <w:rsid w:val="006D3202"/>
    <w:rsid w:val="006E3DAF"/>
    <w:rsid w:val="0074094D"/>
    <w:rsid w:val="00743D6F"/>
    <w:rsid w:val="00756005"/>
    <w:rsid w:val="007A378C"/>
    <w:rsid w:val="007B19F5"/>
    <w:rsid w:val="00805DA5"/>
    <w:rsid w:val="00851973"/>
    <w:rsid w:val="00875265"/>
    <w:rsid w:val="008D7E67"/>
    <w:rsid w:val="0094636D"/>
    <w:rsid w:val="00957AFD"/>
    <w:rsid w:val="00973488"/>
    <w:rsid w:val="00980453"/>
    <w:rsid w:val="009F29F1"/>
    <w:rsid w:val="00A046AA"/>
    <w:rsid w:val="00A54687"/>
    <w:rsid w:val="00A929BD"/>
    <w:rsid w:val="00AB0020"/>
    <w:rsid w:val="00B11905"/>
    <w:rsid w:val="00B547AF"/>
    <w:rsid w:val="00BA26F9"/>
    <w:rsid w:val="00BA329B"/>
    <w:rsid w:val="00BB350E"/>
    <w:rsid w:val="00BC79E7"/>
    <w:rsid w:val="00C135B1"/>
    <w:rsid w:val="00C83CC6"/>
    <w:rsid w:val="00C94B6D"/>
    <w:rsid w:val="00D70D1A"/>
    <w:rsid w:val="00D94390"/>
    <w:rsid w:val="00DC6E16"/>
    <w:rsid w:val="00DD3011"/>
    <w:rsid w:val="00DD5ECE"/>
    <w:rsid w:val="00DE519B"/>
    <w:rsid w:val="00E23E3F"/>
    <w:rsid w:val="00E86AD4"/>
    <w:rsid w:val="00EA3E31"/>
    <w:rsid w:val="00EA5F0D"/>
    <w:rsid w:val="00EF6FA2"/>
    <w:rsid w:val="00F00E12"/>
    <w:rsid w:val="00F0390C"/>
    <w:rsid w:val="00F80F7C"/>
    <w:rsid w:val="00FA65E7"/>
    <w:rsid w:val="00FB4991"/>
    <w:rsid w:val="00FB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82AE"/>
  <w15:chartTrackingRefBased/>
  <w15:docId w15:val="{16A6E00D-AC97-4E99-BCB7-99A210C8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E12"/>
    <w:rPr>
      <w:rFonts w:eastAsiaTheme="majorEastAsia" w:cstheme="majorBidi"/>
      <w:color w:val="272727" w:themeColor="text1" w:themeTint="D8"/>
    </w:rPr>
  </w:style>
  <w:style w:type="paragraph" w:styleId="Title">
    <w:name w:val="Title"/>
    <w:basedOn w:val="Normal"/>
    <w:next w:val="Normal"/>
    <w:link w:val="TitleChar"/>
    <w:uiPriority w:val="10"/>
    <w:qFormat/>
    <w:rsid w:val="00F00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E12"/>
    <w:pPr>
      <w:spacing w:before="160"/>
      <w:jc w:val="center"/>
    </w:pPr>
    <w:rPr>
      <w:i/>
      <w:iCs/>
      <w:color w:val="404040" w:themeColor="text1" w:themeTint="BF"/>
    </w:rPr>
  </w:style>
  <w:style w:type="character" w:customStyle="1" w:styleId="QuoteChar">
    <w:name w:val="Quote Char"/>
    <w:basedOn w:val="DefaultParagraphFont"/>
    <w:link w:val="Quote"/>
    <w:uiPriority w:val="29"/>
    <w:rsid w:val="00F00E12"/>
    <w:rPr>
      <w:i/>
      <w:iCs/>
      <w:color w:val="404040" w:themeColor="text1" w:themeTint="BF"/>
    </w:rPr>
  </w:style>
  <w:style w:type="paragraph" w:styleId="ListParagraph">
    <w:name w:val="List Paragraph"/>
    <w:basedOn w:val="Normal"/>
    <w:uiPriority w:val="34"/>
    <w:qFormat/>
    <w:rsid w:val="00F00E12"/>
    <w:pPr>
      <w:ind w:left="720"/>
      <w:contextualSpacing/>
    </w:pPr>
  </w:style>
  <w:style w:type="character" w:styleId="IntenseEmphasis">
    <w:name w:val="Intense Emphasis"/>
    <w:basedOn w:val="DefaultParagraphFont"/>
    <w:uiPriority w:val="21"/>
    <w:qFormat/>
    <w:rsid w:val="00F00E12"/>
    <w:rPr>
      <w:i/>
      <w:iCs/>
      <w:color w:val="0F4761" w:themeColor="accent1" w:themeShade="BF"/>
    </w:rPr>
  </w:style>
  <w:style w:type="paragraph" w:styleId="IntenseQuote">
    <w:name w:val="Intense Quote"/>
    <w:basedOn w:val="Normal"/>
    <w:next w:val="Normal"/>
    <w:link w:val="IntenseQuoteChar"/>
    <w:uiPriority w:val="30"/>
    <w:qFormat/>
    <w:rsid w:val="00F0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E12"/>
    <w:rPr>
      <w:i/>
      <w:iCs/>
      <w:color w:val="0F4761" w:themeColor="accent1" w:themeShade="BF"/>
    </w:rPr>
  </w:style>
  <w:style w:type="character" w:styleId="IntenseReference">
    <w:name w:val="Intense Reference"/>
    <w:basedOn w:val="DefaultParagraphFont"/>
    <w:uiPriority w:val="32"/>
    <w:qFormat/>
    <w:rsid w:val="00F00E12"/>
    <w:rPr>
      <w:b/>
      <w:bCs/>
      <w:smallCaps/>
      <w:color w:val="0F4761" w:themeColor="accent1" w:themeShade="BF"/>
      <w:spacing w:val="5"/>
    </w:rPr>
  </w:style>
  <w:style w:type="character" w:styleId="CommentReference">
    <w:name w:val="annotation reference"/>
    <w:basedOn w:val="DefaultParagraphFont"/>
    <w:uiPriority w:val="99"/>
    <w:semiHidden/>
    <w:unhideWhenUsed/>
    <w:rsid w:val="000D57BE"/>
    <w:rPr>
      <w:sz w:val="16"/>
      <w:szCs w:val="16"/>
    </w:rPr>
  </w:style>
  <w:style w:type="paragraph" w:styleId="CommentText">
    <w:name w:val="annotation text"/>
    <w:basedOn w:val="Normal"/>
    <w:link w:val="CommentTextChar"/>
    <w:uiPriority w:val="99"/>
    <w:unhideWhenUsed/>
    <w:rsid w:val="000D57BE"/>
    <w:pPr>
      <w:spacing w:line="240" w:lineRule="auto"/>
    </w:pPr>
    <w:rPr>
      <w:sz w:val="20"/>
      <w:szCs w:val="20"/>
    </w:rPr>
  </w:style>
  <w:style w:type="character" w:customStyle="1" w:styleId="CommentTextChar">
    <w:name w:val="Comment Text Char"/>
    <w:basedOn w:val="DefaultParagraphFont"/>
    <w:link w:val="CommentText"/>
    <w:uiPriority w:val="99"/>
    <w:rsid w:val="000D57BE"/>
    <w:rPr>
      <w:sz w:val="20"/>
      <w:szCs w:val="20"/>
    </w:rPr>
  </w:style>
  <w:style w:type="paragraph" w:styleId="CommentSubject">
    <w:name w:val="annotation subject"/>
    <w:basedOn w:val="CommentText"/>
    <w:next w:val="CommentText"/>
    <w:link w:val="CommentSubjectChar"/>
    <w:uiPriority w:val="99"/>
    <w:semiHidden/>
    <w:unhideWhenUsed/>
    <w:rsid w:val="000D57BE"/>
    <w:rPr>
      <w:b/>
      <w:bCs/>
    </w:rPr>
  </w:style>
  <w:style w:type="character" w:customStyle="1" w:styleId="CommentSubjectChar">
    <w:name w:val="Comment Subject Char"/>
    <w:basedOn w:val="CommentTextChar"/>
    <w:link w:val="CommentSubject"/>
    <w:uiPriority w:val="99"/>
    <w:semiHidden/>
    <w:rsid w:val="000D57BE"/>
    <w:rPr>
      <w:b/>
      <w:bCs/>
      <w:sz w:val="20"/>
      <w:szCs w:val="20"/>
    </w:rPr>
  </w:style>
  <w:style w:type="paragraph" w:customStyle="1" w:styleId="Default">
    <w:name w:val="Default"/>
    <w:rsid w:val="005C43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230">
      <w:bodyDiv w:val="1"/>
      <w:marLeft w:val="0"/>
      <w:marRight w:val="0"/>
      <w:marTop w:val="0"/>
      <w:marBottom w:val="0"/>
      <w:divBdr>
        <w:top w:val="none" w:sz="0" w:space="0" w:color="auto"/>
        <w:left w:val="none" w:sz="0" w:space="0" w:color="auto"/>
        <w:bottom w:val="none" w:sz="0" w:space="0" w:color="auto"/>
        <w:right w:val="none" w:sz="0" w:space="0" w:color="auto"/>
      </w:divBdr>
    </w:div>
    <w:div w:id="194543201">
      <w:bodyDiv w:val="1"/>
      <w:marLeft w:val="0"/>
      <w:marRight w:val="0"/>
      <w:marTop w:val="0"/>
      <w:marBottom w:val="0"/>
      <w:divBdr>
        <w:top w:val="none" w:sz="0" w:space="0" w:color="auto"/>
        <w:left w:val="none" w:sz="0" w:space="0" w:color="auto"/>
        <w:bottom w:val="none" w:sz="0" w:space="0" w:color="auto"/>
        <w:right w:val="none" w:sz="0" w:space="0" w:color="auto"/>
      </w:divBdr>
    </w:div>
    <w:div w:id="556086106">
      <w:bodyDiv w:val="1"/>
      <w:marLeft w:val="0"/>
      <w:marRight w:val="0"/>
      <w:marTop w:val="0"/>
      <w:marBottom w:val="0"/>
      <w:divBdr>
        <w:top w:val="none" w:sz="0" w:space="0" w:color="auto"/>
        <w:left w:val="none" w:sz="0" w:space="0" w:color="auto"/>
        <w:bottom w:val="none" w:sz="0" w:space="0" w:color="auto"/>
        <w:right w:val="none" w:sz="0" w:space="0" w:color="auto"/>
      </w:divBdr>
    </w:div>
    <w:div w:id="711616434">
      <w:bodyDiv w:val="1"/>
      <w:marLeft w:val="0"/>
      <w:marRight w:val="0"/>
      <w:marTop w:val="0"/>
      <w:marBottom w:val="0"/>
      <w:divBdr>
        <w:top w:val="none" w:sz="0" w:space="0" w:color="auto"/>
        <w:left w:val="none" w:sz="0" w:space="0" w:color="auto"/>
        <w:bottom w:val="none" w:sz="0" w:space="0" w:color="auto"/>
        <w:right w:val="none" w:sz="0" w:space="0" w:color="auto"/>
      </w:divBdr>
    </w:div>
    <w:div w:id="891191165">
      <w:bodyDiv w:val="1"/>
      <w:marLeft w:val="0"/>
      <w:marRight w:val="0"/>
      <w:marTop w:val="0"/>
      <w:marBottom w:val="0"/>
      <w:divBdr>
        <w:top w:val="none" w:sz="0" w:space="0" w:color="auto"/>
        <w:left w:val="none" w:sz="0" w:space="0" w:color="auto"/>
        <w:bottom w:val="none" w:sz="0" w:space="0" w:color="auto"/>
        <w:right w:val="none" w:sz="0" w:space="0" w:color="auto"/>
      </w:divBdr>
    </w:div>
    <w:div w:id="1958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1017</Words>
  <Characters>5034</Characters>
  <Application>Microsoft Office Word</Application>
  <DocSecurity>0</DocSecurity>
  <Lines>106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Sunner (Law and Governance)</dc:creator>
  <cp:keywords/>
  <dc:description/>
  <cp:lastModifiedBy>Jason Whyley (Strategic Partnerships Team)</cp:lastModifiedBy>
  <cp:revision>14</cp:revision>
  <dcterms:created xsi:type="dcterms:W3CDTF">2025-07-25T12:30:00Z</dcterms:created>
  <dcterms:modified xsi:type="dcterms:W3CDTF">2025-10-13T10:36:00Z</dcterms:modified>
</cp:coreProperties>
</file>